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微软雅黑" w:hAnsi="微软雅黑" w:eastAsia="微软雅黑"/>
          <w:sz w:val="48"/>
          <w:szCs w:val="48"/>
        </w:rPr>
      </w:pPr>
    </w:p>
    <w:p>
      <w:pPr>
        <w:jc w:val="both"/>
        <w:rPr>
          <w:rFonts w:ascii="微软雅黑" w:hAnsi="微软雅黑" w:eastAsia="微软雅黑"/>
          <w:sz w:val="48"/>
          <w:szCs w:val="48"/>
        </w:rPr>
      </w:pPr>
      <w:bookmarkStart w:id="18" w:name="_GoBack"/>
      <w:bookmarkEnd w:id="18"/>
    </w:p>
    <w:p>
      <w:pPr>
        <w:jc w:val="both"/>
        <w:rPr>
          <w:rFonts w:ascii="微软雅黑" w:hAnsi="微软雅黑" w:eastAsia="微软雅黑"/>
          <w:sz w:val="48"/>
          <w:szCs w:val="48"/>
        </w:rPr>
      </w:pPr>
    </w:p>
    <w:p>
      <w:pPr>
        <w:jc w:val="center"/>
        <w:rPr>
          <w:rFonts w:ascii="微软雅黑" w:hAnsi="微软雅黑" w:eastAsia="微软雅黑"/>
          <w:sz w:val="48"/>
          <w:szCs w:val="48"/>
        </w:rPr>
      </w:pPr>
    </w:p>
    <w:p>
      <w:pPr>
        <w:jc w:val="center"/>
        <w:rPr>
          <w:rFonts w:ascii="微软雅黑" w:hAnsi="微软雅黑" w:eastAsia="微软雅黑"/>
          <w:sz w:val="48"/>
          <w:szCs w:val="48"/>
        </w:rPr>
      </w:pPr>
      <w:r>
        <w:rPr>
          <w:rFonts w:ascii="微软雅黑" w:hAnsi="微软雅黑" w:eastAsia="微软雅黑"/>
          <w:sz w:val="48"/>
          <w:szCs w:val="48"/>
        </w:rPr>
        <w:t>E</w:t>
      </w:r>
      <w:r>
        <w:rPr>
          <w:rFonts w:hint="eastAsia" w:ascii="微软雅黑" w:hAnsi="微软雅黑" w:eastAsia="微软雅黑"/>
          <w:sz w:val="48"/>
          <w:szCs w:val="48"/>
        </w:rPr>
        <w:t>交易竞买人操作手册</w:t>
      </w:r>
    </w:p>
    <w:p>
      <w:pPr>
        <w:jc w:val="center"/>
        <w:rPr>
          <w:rFonts w:ascii="微软雅黑" w:hAnsi="微软雅黑" w:eastAsia="微软雅黑"/>
          <w:sz w:val="48"/>
          <w:szCs w:val="48"/>
        </w:rPr>
      </w:pPr>
    </w:p>
    <w:p>
      <w:pPr>
        <w:jc w:val="center"/>
      </w:pPr>
      <w:r>
        <w:rPr>
          <w:rFonts w:hint="eastAsia" w:ascii="微软雅黑" w:hAnsi="微软雅黑" w:eastAsia="微软雅黑"/>
          <w:sz w:val="48"/>
          <w:szCs w:val="48"/>
        </w:rPr>
        <w:t>2</w:t>
      </w:r>
      <w:r>
        <w:rPr>
          <w:rFonts w:ascii="微软雅黑" w:hAnsi="微软雅黑" w:eastAsia="微软雅黑"/>
          <w:sz w:val="48"/>
          <w:szCs w:val="48"/>
        </w:rPr>
        <w:t>020</w:t>
      </w:r>
      <w:r>
        <w:rPr>
          <w:rFonts w:hint="eastAsia" w:ascii="微软雅黑" w:hAnsi="微软雅黑" w:eastAsia="微软雅黑"/>
          <w:sz w:val="48"/>
          <w:szCs w:val="48"/>
        </w:rPr>
        <w:t>-</w:t>
      </w:r>
      <w:r>
        <w:rPr>
          <w:rFonts w:ascii="微软雅黑" w:hAnsi="微软雅黑" w:eastAsia="微软雅黑"/>
          <w:sz w:val="48"/>
          <w:szCs w:val="48"/>
        </w:rPr>
        <w:t>4</w:t>
      </w:r>
      <w:r>
        <w:rPr>
          <w:rFonts w:hint="eastAsia" w:ascii="微软雅黑" w:hAnsi="微软雅黑" w:eastAsia="微软雅黑"/>
          <w:sz w:val="48"/>
          <w:szCs w:val="48"/>
        </w:rPr>
        <w:t>-</w:t>
      </w:r>
      <w:r>
        <w:rPr>
          <w:rFonts w:ascii="微软雅黑" w:hAnsi="微软雅黑" w:eastAsia="微软雅黑"/>
          <w:sz w:val="48"/>
          <w:szCs w:val="48"/>
        </w:rPr>
        <w:t>27</w:t>
      </w:r>
      <w:r>
        <w:rPr>
          <w:rFonts w:ascii="微软雅黑" w:hAnsi="微软雅黑" w:eastAsia="微软雅黑"/>
        </w:rPr>
        <w:br w:type="page"/>
      </w:r>
      <w:r>
        <w:rPr>
          <w:rFonts w:ascii="微软雅黑" w:hAnsi="微软雅黑" w:eastAsia="微软雅黑"/>
        </w:rPr>
        <w:fldChar w:fldCharType="begin"/>
      </w:r>
      <w:r>
        <w:rPr>
          <w:rFonts w:ascii="微软雅黑" w:hAnsi="微软雅黑" w:eastAsia="微软雅黑"/>
        </w:rPr>
        <w:instrText xml:space="preserve"> TOC \o "1-3" \h \z \u </w:instrText>
      </w:r>
      <w:r>
        <w:rPr>
          <w:rFonts w:ascii="微软雅黑" w:hAnsi="微软雅黑" w:eastAsia="微软雅黑"/>
        </w:rPr>
        <w:fldChar w:fldCharType="separate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"_Toc27753477"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一、注册</w:t>
      </w:r>
      <w:r>
        <w:tab/>
      </w:r>
      <w:r>
        <w:fldChar w:fldCharType="begin"/>
      </w:r>
      <w:r>
        <w:instrText xml:space="preserve"> PAGEREF _Toc27753477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"_Toc27753478"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1、进入官网</w:t>
      </w:r>
      <w:r>
        <w:tab/>
      </w:r>
      <w:r>
        <w:fldChar w:fldCharType="begin"/>
      </w:r>
      <w:r>
        <w:instrText xml:space="preserve"> PAGEREF _Toc27753478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"_Toc27753479"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2、注册并完善资料</w:t>
      </w:r>
      <w:r>
        <w:tab/>
      </w:r>
      <w:r>
        <w:fldChar w:fldCharType="begin"/>
      </w:r>
      <w:r>
        <w:instrText xml:space="preserve"> PAGEREF _Toc27753479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"_Toc27753480"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二、登录</w:t>
      </w:r>
      <w:r>
        <w:tab/>
      </w:r>
      <w:r>
        <w:fldChar w:fldCharType="begin"/>
      </w:r>
      <w:r>
        <w:instrText xml:space="preserve"> PAGEREF _Toc27753480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"_Toc27753481"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1、进入官网</w:t>
      </w:r>
      <w:r>
        <w:tab/>
      </w:r>
      <w:r>
        <w:fldChar w:fldCharType="begin"/>
      </w:r>
      <w:r>
        <w:instrText xml:space="preserve"> PAGEREF _Toc27753481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"_Toc27753482"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2、输入账号和密码登录</w:t>
      </w:r>
      <w:r>
        <w:tab/>
      </w:r>
      <w:r>
        <w:fldChar w:fldCharType="begin"/>
      </w:r>
      <w:r>
        <w:instrText xml:space="preserve"> PAGEREF _Toc27753482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"_Toc27753483"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三、项目报名</w:t>
      </w:r>
      <w:r>
        <w:tab/>
      </w:r>
      <w:r>
        <w:fldChar w:fldCharType="begin"/>
      </w:r>
      <w:r>
        <w:instrText xml:space="preserve"> PAGEREF _Toc27753483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"_Toc27753484"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1、筛选标的</w:t>
      </w:r>
      <w:r>
        <w:tab/>
      </w:r>
      <w:r>
        <w:fldChar w:fldCharType="begin"/>
      </w:r>
      <w:r>
        <w:instrText xml:space="preserve"> PAGEREF _Toc27753484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"_Toc27753485"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2、标的报名</w:t>
      </w:r>
      <w:r>
        <w:tab/>
      </w:r>
      <w:r>
        <w:fldChar w:fldCharType="begin"/>
      </w:r>
      <w:r>
        <w:instrText xml:space="preserve"> PAGEREF _Toc27753485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"_Toc27753486"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3、提交报名审核</w:t>
      </w:r>
      <w:r>
        <w:tab/>
      </w:r>
      <w:r>
        <w:fldChar w:fldCharType="begin"/>
      </w:r>
      <w:r>
        <w:instrText xml:space="preserve"> PAGEREF _Toc27753486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"_Toc27753487"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四、钱包充值</w:t>
      </w:r>
      <w:r>
        <w:tab/>
      </w:r>
      <w:r>
        <w:fldChar w:fldCharType="begin"/>
      </w:r>
      <w:r>
        <w:instrText xml:space="preserve"> PAGEREF _Toc27753487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"_Toc27753488"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五、项目竞价</w:t>
      </w:r>
      <w:r>
        <w:tab/>
      </w:r>
      <w:r>
        <w:fldChar w:fldCharType="begin"/>
      </w:r>
      <w:r>
        <w:instrText xml:space="preserve"> PAGEREF _Toc27753488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"_Toc27753489"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1、缴纳保证金</w:t>
      </w:r>
      <w:r>
        <w:tab/>
      </w:r>
      <w:r>
        <w:fldChar w:fldCharType="begin"/>
      </w:r>
      <w:r>
        <w:instrText xml:space="preserve"> PAGEREF _Toc27753489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"_Toc27753490"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2、在线竞价</w:t>
      </w:r>
      <w:r>
        <w:tab/>
      </w:r>
      <w:r>
        <w:fldChar w:fldCharType="begin"/>
      </w:r>
      <w:r>
        <w:instrText xml:space="preserve"> PAGEREF _Toc27753490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</w:pPr>
      <w:r>
        <w:fldChar w:fldCharType="begin"/>
      </w:r>
      <w:r>
        <w:instrText xml:space="preserve"> HYPERLINK \l "_Toc27753491"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六、交纳费用</w:t>
      </w:r>
      <w:r>
        <w:tab/>
      </w:r>
      <w:r>
        <w:fldChar w:fldCharType="begin"/>
      </w:r>
      <w:r>
        <w:instrText xml:space="preserve"> PAGEREF _Toc27753491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"_Toc27753492"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1、成交公示</w:t>
      </w:r>
      <w:r>
        <w:tab/>
      </w:r>
      <w:r>
        <w:fldChar w:fldCharType="begin"/>
      </w:r>
      <w:r>
        <w:instrText xml:space="preserve"> PAGEREF _Toc27753492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"_Toc27753493"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2、交纳服务费</w:t>
      </w:r>
      <w:r>
        <w:tab/>
      </w:r>
      <w:r>
        <w:fldChar w:fldCharType="begin"/>
      </w:r>
      <w:r>
        <w:instrText xml:space="preserve"> PAGEREF _Toc27753493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296"/>
        </w:tabs>
      </w:pPr>
      <w:r>
        <w:fldChar w:fldCharType="begin"/>
      </w:r>
      <w:r>
        <w:instrText xml:space="preserve"> HYPERLINK \l "_Toc27753494" </w:instrText>
      </w:r>
      <w:r>
        <w:fldChar w:fldCharType="separate"/>
      </w:r>
      <w:r>
        <w:rPr>
          <w:rStyle w:val="12"/>
          <w:rFonts w:ascii="微软雅黑" w:hAnsi="微软雅黑" w:eastAsia="微软雅黑"/>
        </w:rPr>
        <w:t>3、交纳成交款</w:t>
      </w:r>
      <w:r>
        <w:tab/>
      </w:r>
      <w:r>
        <w:fldChar w:fldCharType="begin"/>
      </w:r>
      <w:r>
        <w:instrText xml:space="preserve"> PAGEREF _Toc27753494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3"/>
        <w:rPr>
          <w:rFonts w:ascii="微软雅黑" w:hAnsi="微软雅黑" w:eastAsia="微软雅黑"/>
          <w:b w:val="0"/>
          <w:bCs w:val="0"/>
        </w:rPr>
      </w:pPr>
      <w:r>
        <w:rPr>
          <w:rFonts w:ascii="微软雅黑" w:hAnsi="微软雅黑" w:eastAsia="微软雅黑"/>
        </w:rPr>
        <w:fldChar w:fldCharType="end"/>
      </w:r>
      <w:r>
        <w:rPr>
          <w:rFonts w:ascii="微软雅黑" w:hAnsi="微软雅黑" w:eastAsia="微软雅黑"/>
        </w:rPr>
        <w:br w:type="page"/>
      </w:r>
      <w:bookmarkStart w:id="0" w:name="_Toc27753477"/>
      <w:bookmarkStart w:id="1" w:name="_Toc12365930"/>
      <w:r>
        <w:rPr>
          <w:rFonts w:hint="eastAsia" w:ascii="微软雅黑" w:hAnsi="微软雅黑" w:eastAsia="微软雅黑"/>
          <w:b w:val="0"/>
          <w:bCs w:val="0"/>
        </w:rPr>
        <w:t>一、注册</w:t>
      </w:r>
      <w:bookmarkEnd w:id="0"/>
      <w:bookmarkEnd w:id="1"/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2" w:name="_Toc27753478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1、进入官网</w:t>
      </w:r>
      <w:bookmarkEnd w:id="2"/>
    </w:p>
    <w:p>
      <w:pPr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输入e交易官方网址（</w:t>
      </w:r>
      <w:r>
        <w:fldChar w:fldCharType="begin"/>
      </w:r>
      <w:r>
        <w:instrText xml:space="preserve"> HYPERLINK "http://www.ejy365.com/" </w:instrText>
      </w:r>
      <w:r>
        <w:fldChar w:fldCharType="separate"/>
      </w:r>
      <w:r>
        <w:rPr>
          <w:rStyle w:val="12"/>
          <w:rFonts w:hint="eastAsia" w:ascii="微软雅黑" w:hAnsi="微软雅黑" w:eastAsia="微软雅黑"/>
        </w:rPr>
        <w:t>www</w:t>
      </w:r>
      <w:r>
        <w:rPr>
          <w:rStyle w:val="12"/>
          <w:rFonts w:ascii="微软雅黑" w:hAnsi="微软雅黑" w:eastAsia="微软雅黑"/>
        </w:rPr>
        <w:t>.ejy365.com</w:t>
      </w:r>
      <w:r>
        <w:rPr>
          <w:rStyle w:val="12"/>
          <w:rFonts w:ascii="微软雅黑" w:hAnsi="微软雅黑" w:eastAsia="微软雅黑"/>
        </w:rPr>
        <w:fldChar w:fldCharType="end"/>
      </w:r>
      <w:r>
        <w:rPr>
          <w:rFonts w:hint="eastAsia" w:ascii="微软雅黑" w:hAnsi="微软雅黑" w:eastAsia="微软雅黑"/>
        </w:rPr>
        <w:t>），进入首页。如果是新用户，需先通过官网上方或右侧注册按钮进行注册。如图1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342646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图1： e交易官网及注册入口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3" w:name="_Toc27753479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2、注册并完善资料</w:t>
      </w:r>
      <w:bookmarkEnd w:id="3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（1）在注册页面，会弹出注册须知弹框，选择“同意并继续”按钮，进行下一步操作。如图2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310896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图2：注册须知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</w:t>
      </w:r>
      <w:r>
        <w:rPr>
          <w:rFonts w:ascii="微软雅黑" w:hAnsi="微软雅黑" w:eastAsia="微软雅黑"/>
        </w:rPr>
        <w:t>2</w:t>
      </w:r>
      <w:r>
        <w:rPr>
          <w:rFonts w:hint="eastAsia" w:ascii="微软雅黑" w:hAnsi="微软雅黑" w:eastAsia="微软雅黑"/>
        </w:rPr>
        <w:t>）、如果企业用户，选择企业注册。注册时，选择身份为“竞买方”。如图3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573270" cy="83566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8054" cy="8365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64585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3021965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图3：企业注册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</w:t>
      </w:r>
      <w:r>
        <w:rPr>
          <w:rFonts w:ascii="微软雅黑" w:hAnsi="微软雅黑" w:eastAsia="微软雅黑"/>
        </w:rPr>
        <w:t>3</w:t>
      </w:r>
      <w:r>
        <w:rPr>
          <w:rFonts w:hint="eastAsia" w:ascii="微软雅黑" w:hAnsi="微软雅黑" w:eastAsia="微软雅黑"/>
        </w:rPr>
        <w:t>）、如果个人用户，选择个人注册。注册时，选择身份为“竞买方”。如图</w:t>
      </w:r>
      <w:r>
        <w:rPr>
          <w:rFonts w:ascii="微软雅黑" w:hAnsi="微软雅黑" w:eastAsia="微软雅黑"/>
        </w:rPr>
        <w:t>4</w:t>
      </w:r>
    </w:p>
    <w:p>
      <w:pPr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4877435" cy="7934960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2502" cy="7943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45021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302196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图4：个人注册</w:t>
      </w:r>
    </w:p>
    <w:p>
      <w:pPr>
        <w:rPr>
          <w:rFonts w:ascii="微软雅黑" w:hAnsi="微软雅黑" w:eastAsia="微软雅黑"/>
        </w:rPr>
      </w:pPr>
    </w:p>
    <w:p>
      <w:pPr>
        <w:pStyle w:val="3"/>
        <w:rPr>
          <w:rFonts w:ascii="微软雅黑" w:hAnsi="微软雅黑" w:eastAsia="微软雅黑"/>
          <w:b w:val="0"/>
          <w:bCs w:val="0"/>
        </w:rPr>
      </w:pPr>
      <w:bookmarkStart w:id="4" w:name="_Toc27753480"/>
      <w:r>
        <w:rPr>
          <w:rFonts w:hint="eastAsia" w:ascii="微软雅黑" w:hAnsi="微软雅黑" w:eastAsia="微软雅黑"/>
          <w:b w:val="0"/>
          <w:bCs w:val="0"/>
        </w:rPr>
        <w:t>二、登录</w:t>
      </w:r>
      <w:bookmarkEnd w:id="4"/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5" w:name="_Toc27753481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1、进入官网</w:t>
      </w:r>
      <w:bookmarkEnd w:id="5"/>
    </w:p>
    <w:p>
      <w:pPr>
        <w:ind w:left="142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如果用户已经注册，则可以直接在官网登录。点击首页顶部的“登录”按钮进入登录。如图5</w:t>
      </w:r>
    </w:p>
    <w:p>
      <w:pPr>
        <w:ind w:left="142"/>
        <w:rPr>
          <w:rFonts w:hint="eastAsia" w:ascii="微软雅黑" w:hAnsi="微软雅黑" w:eastAsia="微软雅黑"/>
        </w:rPr>
      </w:pPr>
      <w:r>
        <w:drawing>
          <wp:inline distT="0" distB="0" distL="0" distR="0">
            <wp:extent cx="5274310" cy="30251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2"/>
        <w:jc w:val="center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图5：会员登录</w:t>
      </w:r>
    </w:p>
    <w:p>
      <w:pPr>
        <w:ind w:left="142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或者点击首页列表导航栏“企采云”并选中“资产处置系统”登录，图6：</w:t>
      </w:r>
    </w:p>
    <w:p>
      <w:pPr>
        <w:ind w:left="142"/>
        <w:rPr>
          <w:rFonts w:ascii="微软雅黑" w:hAnsi="微软雅黑" w:eastAsia="微软雅黑"/>
        </w:rPr>
      </w:pPr>
      <w:r>
        <w:drawing>
          <wp:inline distT="0" distB="0" distL="0" distR="0">
            <wp:extent cx="5274310" cy="20891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图5：企采云入口</w:t>
      </w:r>
    </w:p>
    <w:p>
      <w:pPr>
        <w:ind w:left="142"/>
        <w:jc w:val="center"/>
        <w:rPr>
          <w:rFonts w:ascii="微软雅黑" w:hAnsi="微软雅黑" w:eastAsia="微软雅黑"/>
        </w:rPr>
      </w:pPr>
      <w:r>
        <w:drawing>
          <wp:inline distT="0" distB="0" distL="0" distR="0">
            <wp:extent cx="5274310" cy="3195955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2"/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图6：资产处置端登录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6" w:name="_Toc27753482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2、输入账号和密码登录</w:t>
      </w:r>
      <w:bookmarkEnd w:id="6"/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在登陆页面中，输入用户名和密码，点击登录</w:t>
      </w:r>
      <w:r>
        <w:rPr>
          <w:rFonts w:hint="eastAsia" w:ascii="微软雅黑" w:hAnsi="微软雅黑" w:eastAsia="微软雅黑"/>
        </w:rPr>
        <w:t>。如图</w:t>
      </w:r>
      <w:r>
        <w:rPr>
          <w:rFonts w:ascii="微软雅黑" w:hAnsi="微软雅黑" w:eastAsia="微软雅黑"/>
        </w:rPr>
        <w:t>7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308610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7</w:t>
      </w:r>
      <w:r>
        <w:rPr>
          <w:rFonts w:hint="eastAsia" w:ascii="微软雅黑" w:hAnsi="微软雅黑" w:eastAsia="微软雅黑"/>
        </w:rPr>
        <w:t>：账号密码登录</w:t>
      </w:r>
    </w:p>
    <w:p>
      <w:pPr>
        <w:pStyle w:val="3"/>
        <w:rPr>
          <w:rFonts w:ascii="微软雅黑" w:hAnsi="微软雅黑" w:eastAsia="微软雅黑"/>
          <w:b w:val="0"/>
          <w:bCs w:val="0"/>
        </w:rPr>
      </w:pPr>
      <w:bookmarkStart w:id="7" w:name="_Toc27753483"/>
      <w:r>
        <w:rPr>
          <w:rFonts w:hint="eastAsia" w:ascii="微软雅黑" w:hAnsi="微软雅黑" w:eastAsia="微软雅黑"/>
          <w:b w:val="0"/>
          <w:bCs w:val="0"/>
        </w:rPr>
        <w:t>三、项目报名</w:t>
      </w:r>
      <w:bookmarkEnd w:id="7"/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8" w:name="_Toc27753484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1、筛选标的</w:t>
      </w:r>
      <w:bookmarkEnd w:id="8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选择产权交易，并按合适的条件筛选，寻找需要竞买的标的。如图</w:t>
      </w:r>
      <w:r>
        <w:rPr>
          <w:rFonts w:ascii="微软雅黑" w:hAnsi="微软雅黑" w:eastAsia="微软雅黑"/>
        </w:rPr>
        <w:t>8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40684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8</w:t>
      </w:r>
      <w:r>
        <w:rPr>
          <w:rFonts w:hint="eastAsia" w:ascii="微软雅黑" w:hAnsi="微软雅黑" w:eastAsia="微软雅黑"/>
        </w:rPr>
        <w:t>：筛选标的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9" w:name="_Toc27753485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2、标的报名</w:t>
      </w:r>
      <w:bookmarkEnd w:id="9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选择意向报名的标的后，在该标的的详情页点击“报名交保证金”按钮，进行标的竞买的报名。如下列图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4529455"/>
            <wp:effectExtent l="0" t="0" r="2540" b="444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9</w:t>
      </w:r>
      <w:r>
        <w:rPr>
          <w:rFonts w:hint="eastAsia" w:ascii="微软雅黑" w:hAnsi="微软雅黑" w:eastAsia="微软雅黑"/>
        </w:rPr>
        <w:t>：报名交保证金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2279015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10</w:t>
      </w:r>
      <w:r>
        <w:rPr>
          <w:rFonts w:hint="eastAsia" w:ascii="微软雅黑" w:hAnsi="微软雅黑" w:eastAsia="微软雅黑"/>
        </w:rPr>
        <w:t>：进入会员中心定位选中项目</w:t>
      </w:r>
    </w:p>
    <w:p>
      <w:pPr>
        <w:jc w:val="center"/>
        <w:rPr>
          <w:rFonts w:ascii="微软雅黑" w:hAnsi="微软雅黑" w:eastAsia="微软雅黑"/>
        </w:rPr>
      </w:pPr>
      <w:r>
        <w:drawing>
          <wp:inline distT="0" distB="0" distL="0" distR="0">
            <wp:extent cx="5274310" cy="3484245"/>
            <wp:effectExtent l="0" t="0" r="254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11</w:t>
      </w:r>
      <w:r>
        <w:rPr>
          <w:rFonts w:hint="eastAsia" w:ascii="微软雅黑" w:hAnsi="微软雅黑" w:eastAsia="微软雅黑"/>
        </w:rPr>
        <w:t>：同意报名须知</w:t>
      </w:r>
    </w:p>
    <w:p>
      <w:pPr>
        <w:jc w:val="center"/>
        <w:rPr>
          <w:rFonts w:ascii="微软雅黑" w:hAnsi="微软雅黑" w:eastAsia="微软雅黑"/>
        </w:rPr>
      </w:pPr>
      <w:r>
        <w:drawing>
          <wp:inline distT="0" distB="0" distL="0" distR="0">
            <wp:extent cx="5274310" cy="2494280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2</w:t>
      </w:r>
      <w:r>
        <w:rPr>
          <w:rFonts w:hint="eastAsia" w:ascii="微软雅黑" w:hAnsi="微软雅黑" w:eastAsia="微软雅黑"/>
        </w:rPr>
        <w:t>：完善信息并报名</w:t>
      </w:r>
    </w:p>
    <w:p>
      <w:pPr>
        <w:jc w:val="center"/>
        <w:rPr>
          <w:rFonts w:hint="eastAsia" w:ascii="微软雅黑" w:hAnsi="微软雅黑" w:eastAsia="微软雅黑"/>
        </w:rPr>
      </w:pPr>
    </w:p>
    <w:p>
      <w:pPr>
        <w:pStyle w:val="3"/>
        <w:rPr>
          <w:rFonts w:ascii="微软雅黑" w:hAnsi="微软雅黑" w:eastAsia="微软雅黑"/>
          <w:b w:val="0"/>
          <w:bCs w:val="0"/>
        </w:rPr>
      </w:pPr>
      <w:bookmarkStart w:id="10" w:name="_Toc27753487"/>
      <w:r>
        <w:rPr>
          <w:rFonts w:hint="eastAsia" w:ascii="微软雅黑" w:hAnsi="微软雅黑" w:eastAsia="微软雅黑"/>
          <w:b w:val="0"/>
          <w:bCs w:val="0"/>
        </w:rPr>
        <w:t>四、钱包充值</w:t>
      </w:r>
      <w:bookmarkEnd w:id="10"/>
    </w:p>
    <w:p>
      <w:pPr>
        <w:widowControl/>
        <w:spacing w:line="48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竞买方第一次报名某机构以银行为支付方式的项目时，才会产生一个新的钱包账户。后续，只要是同一机构的同一结算银行的项目，就一直使用该账户充值缴费。</w:t>
      </w:r>
    </w:p>
    <w:p>
      <w:pPr>
        <w:widowControl/>
        <w:spacing w:line="48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充值时，请务必确保充值资金来源的真实有效性，如果用户诚信库中的姓名（或企业名称）和银行卡与用户在诚信库中的信息一致，才能判定为有效充值，才可以用于后续支付操作。如图1</w:t>
      </w:r>
      <w:r>
        <w:rPr>
          <w:rFonts w:ascii="微软雅黑" w:hAnsi="微软雅黑" w:eastAsia="微软雅黑"/>
        </w:rPr>
        <w:t>3</w:t>
      </w:r>
    </w:p>
    <w:p>
      <w:pPr>
        <w:rPr>
          <w:rFonts w:ascii="微软雅黑" w:hAnsi="微软雅黑" w:eastAsia="微软雅黑"/>
        </w:rPr>
      </w:pPr>
      <w:r>
        <w:drawing>
          <wp:inline distT="0" distB="0" distL="0" distR="0">
            <wp:extent cx="5274310" cy="1789430"/>
            <wp:effectExtent l="0" t="0" r="254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3</w:t>
      </w:r>
      <w:r>
        <w:rPr>
          <w:rFonts w:hint="eastAsia" w:ascii="微软雅黑" w:hAnsi="微软雅黑" w:eastAsia="微软雅黑"/>
        </w:rPr>
        <w:t>：钱包充值</w:t>
      </w:r>
    </w:p>
    <w:p>
      <w:pPr>
        <w:pStyle w:val="3"/>
        <w:rPr>
          <w:rFonts w:ascii="微软雅黑" w:hAnsi="微软雅黑" w:eastAsia="微软雅黑"/>
          <w:b w:val="0"/>
          <w:bCs w:val="0"/>
        </w:rPr>
      </w:pPr>
      <w:bookmarkStart w:id="11" w:name="_Toc27753488"/>
      <w:r>
        <w:rPr>
          <w:rFonts w:hint="eastAsia" w:ascii="微软雅黑" w:hAnsi="微软雅黑" w:eastAsia="微软雅黑"/>
          <w:b w:val="0"/>
          <w:bCs w:val="0"/>
        </w:rPr>
        <w:t>五、项目竞价</w:t>
      </w:r>
      <w:bookmarkEnd w:id="11"/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12" w:name="_Toc27753489"/>
      <w:r>
        <w:rPr>
          <w:rFonts w:ascii="微软雅黑" w:hAnsi="微软雅黑" w:eastAsia="微软雅黑"/>
          <w:b w:val="0"/>
          <w:bCs w:val="0"/>
          <w:sz w:val="28"/>
          <w:szCs w:val="28"/>
        </w:rPr>
        <w:t>1</w:t>
      </w:r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、缴纳保证金</w:t>
      </w:r>
      <w:bookmarkEnd w:id="12"/>
    </w:p>
    <w:p>
      <w:pPr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报名审核通过后，可以进入竞买方后台，在对应的报名标的中及时交纳保证金。不同的标的的保证金交纳方式有所区别，有些需通过钱包余额支付，有些需通过支付宝在线支付。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点击立即缴纳或在我的报名里面点击缴纳保证金，进入钱包支付页面。如图1</w:t>
      </w:r>
      <w:r>
        <w:rPr>
          <w:rFonts w:ascii="微软雅黑" w:hAnsi="微软雅黑" w:eastAsia="微软雅黑"/>
        </w:rPr>
        <w:t>4</w:t>
      </w:r>
    </w:p>
    <w:p>
      <w:pPr>
        <w:ind w:firstLine="42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钱包支付需要保正钱包虚拟子账号里面的钱是足额的，在钱包支付页面和钱包账单里面有充值钱包余额的方法，必须使用注册时的银行卡对钱包账号进行充值，充值成功后大概半小时可以到账。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256159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257810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4</w:t>
      </w:r>
      <w:r>
        <w:rPr>
          <w:rFonts w:hint="eastAsia" w:ascii="微软雅黑" w:hAnsi="微软雅黑" w:eastAsia="微软雅黑"/>
        </w:rPr>
        <w:t>：钱包支付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13" w:name="_Toc27753490"/>
      <w:r>
        <w:rPr>
          <w:rFonts w:ascii="微软雅黑" w:hAnsi="微软雅黑" w:eastAsia="微软雅黑"/>
          <w:b w:val="0"/>
          <w:bCs w:val="0"/>
          <w:sz w:val="28"/>
          <w:szCs w:val="28"/>
        </w:rPr>
        <w:t>2</w:t>
      </w:r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、在线竞价</w:t>
      </w:r>
      <w:bookmarkEnd w:id="13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（1）交纳保证金后，即可在竞价时间范围内参与标的竞价。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首先选择需要参与竞价的标的，点击“报价”.如图1</w:t>
      </w:r>
      <w:r>
        <w:rPr>
          <w:rFonts w:ascii="微软雅黑" w:hAnsi="微软雅黑" w:eastAsia="微软雅黑"/>
        </w:rPr>
        <w:t>5</w:t>
      </w:r>
      <w:r>
        <w:rPr>
          <w:rFonts w:hint="eastAsia" w:ascii="微软雅黑" w:hAnsi="微软雅黑" w:eastAsia="微软雅黑"/>
        </w:rPr>
        <w:t>，会跳转至竞价平台，参与竞价。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240284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5</w:t>
      </w:r>
      <w:r>
        <w:rPr>
          <w:rFonts w:hint="eastAsia" w:ascii="微软雅黑" w:hAnsi="微软雅黑" w:eastAsia="微软雅黑"/>
        </w:rPr>
        <w:t>：标的报价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（2）进入竞价平台后，选择需要参与竞价的标的，点击“竞价”，同意《竞价须知》并进入下一步。如图1</w:t>
      </w:r>
      <w:r>
        <w:rPr>
          <w:rFonts w:ascii="微软雅黑" w:hAnsi="微软雅黑" w:eastAsia="微软雅黑"/>
        </w:rPr>
        <w:t>6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23806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6</w:t>
      </w:r>
      <w:r>
        <w:rPr>
          <w:rFonts w:hint="eastAsia" w:ascii="微软雅黑" w:hAnsi="微软雅黑" w:eastAsia="微软雅黑"/>
        </w:rPr>
        <w:t>：进入竞价平台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3）进入竞价界面后，可以看到标的的基本信息。左上角是该标的起始价以及阶梯价等竞价规则；左下角历史报价记录，用户可以查看到每次的报价；右侧我的报价可以看到本人当前的报价；页面正中间显示的为该标的当前最高报价。如图1</w:t>
      </w:r>
      <w:r>
        <w:rPr>
          <w:rFonts w:ascii="微软雅黑" w:hAnsi="微软雅黑" w:eastAsia="微软雅黑"/>
        </w:rPr>
        <w:t>7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368554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7</w:t>
      </w:r>
      <w:r>
        <w:rPr>
          <w:rFonts w:hint="eastAsia" w:ascii="微软雅黑" w:hAnsi="微软雅黑" w:eastAsia="微软雅黑"/>
        </w:rPr>
        <w:t>：竞价界面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（4）用户在报价时，可以选择阶梯倍数后点击发送报价按钮发送报价。如图1</w:t>
      </w:r>
      <w:r>
        <w:rPr>
          <w:rFonts w:ascii="微软雅黑" w:hAnsi="微软雅黑" w:eastAsia="微软雅黑"/>
        </w:rPr>
        <w:t>8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383667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图1</w:t>
      </w:r>
      <w:r>
        <w:rPr>
          <w:rFonts w:ascii="微软雅黑" w:hAnsi="微软雅黑" w:eastAsia="微软雅黑"/>
        </w:rPr>
        <w:t>8</w:t>
      </w:r>
      <w:r>
        <w:rPr>
          <w:rFonts w:hint="eastAsia" w:ascii="微软雅黑" w:hAnsi="微软雅黑" w:eastAsia="微软雅黑"/>
        </w:rPr>
        <w:t>：用户发送竞价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自由竞价时间结束之后会进入延时竞价（注：延时竞价倒计时显示为红色），延时竞价中只要有人报价，就会重新进入延时竞价时间周期。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延时竞价时间结束后，该项目竞价结束。</w:t>
      </w:r>
    </w:p>
    <w:p>
      <w:pPr>
        <w:pStyle w:val="3"/>
        <w:rPr>
          <w:rFonts w:ascii="微软雅黑" w:hAnsi="微软雅黑" w:eastAsia="微软雅黑"/>
          <w:b w:val="0"/>
          <w:bCs w:val="0"/>
        </w:rPr>
      </w:pPr>
      <w:bookmarkStart w:id="14" w:name="_Toc27753491"/>
      <w:r>
        <w:rPr>
          <w:rFonts w:hint="eastAsia" w:ascii="微软雅黑" w:hAnsi="微软雅黑" w:eastAsia="微软雅黑"/>
          <w:b w:val="0"/>
          <w:bCs w:val="0"/>
        </w:rPr>
        <w:t>六、交纳费用</w:t>
      </w:r>
      <w:bookmarkEnd w:id="14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中标的竞买方则需要交纳“服务费”（如果没有服务费则不交纳）和成交款。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未中标的竞买方，会直接退还保证金；中标的竞买方，在交纳服务费和成交款后退还保证金。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15" w:name="_Toc27753492"/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1、成交公示</w:t>
      </w:r>
      <w:bookmarkEnd w:id="15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标的竞标成功后，E交易官网是显示成交公示，如图</w:t>
      </w:r>
      <w:r>
        <w:rPr>
          <w:rFonts w:ascii="微软雅黑" w:hAnsi="微软雅黑" w:eastAsia="微软雅黑"/>
        </w:rPr>
        <w:t>19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3350260"/>
            <wp:effectExtent l="0" t="0" r="2540" b="25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19</w:t>
      </w:r>
      <w:r>
        <w:rPr>
          <w:rFonts w:hint="eastAsia" w:ascii="微软雅黑" w:hAnsi="微软雅黑" w:eastAsia="微软雅黑"/>
        </w:rPr>
        <w:t>：交易结果公示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16" w:name="_Toc27753493"/>
      <w:r>
        <w:rPr>
          <w:rFonts w:ascii="微软雅黑" w:hAnsi="微软雅黑" w:eastAsia="微软雅黑"/>
          <w:b w:val="0"/>
          <w:bCs w:val="0"/>
          <w:sz w:val="28"/>
          <w:szCs w:val="28"/>
        </w:rPr>
        <w:t>2</w:t>
      </w:r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、交纳服务费</w:t>
      </w:r>
      <w:bookmarkEnd w:id="16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中标的竞买人，进入竞买方本人的后台，在左侧“服务费缴纳”一栏，选择标的并进行“缴纳服务费”操作。如图</w:t>
      </w:r>
      <w:r>
        <w:rPr>
          <w:rFonts w:ascii="微软雅黑" w:hAnsi="微软雅黑" w:eastAsia="微软雅黑"/>
        </w:rPr>
        <w:t>20</w:t>
      </w:r>
    </w:p>
    <w:p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45935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20</w:t>
      </w:r>
      <w:r>
        <w:rPr>
          <w:rFonts w:hint="eastAsia" w:ascii="微软雅黑" w:hAnsi="微软雅黑" w:eastAsia="微软雅黑"/>
        </w:rPr>
        <w:t>：交纳服务费</w:t>
      </w:r>
    </w:p>
    <w:p>
      <w:pPr>
        <w:pStyle w:val="4"/>
        <w:rPr>
          <w:rFonts w:ascii="微软雅黑" w:hAnsi="微软雅黑" w:eastAsia="微软雅黑"/>
          <w:b w:val="0"/>
          <w:bCs w:val="0"/>
          <w:sz w:val="28"/>
          <w:szCs w:val="28"/>
        </w:rPr>
      </w:pPr>
      <w:bookmarkStart w:id="17" w:name="_Toc27753494"/>
      <w:r>
        <w:rPr>
          <w:rFonts w:ascii="微软雅黑" w:hAnsi="微软雅黑" w:eastAsia="微软雅黑"/>
          <w:b w:val="0"/>
          <w:bCs w:val="0"/>
          <w:sz w:val="28"/>
          <w:szCs w:val="28"/>
        </w:rPr>
        <w:t>3</w:t>
      </w:r>
      <w:r>
        <w:rPr>
          <w:rFonts w:hint="eastAsia" w:ascii="微软雅黑" w:hAnsi="微软雅黑" w:eastAsia="微软雅黑"/>
          <w:b w:val="0"/>
          <w:bCs w:val="0"/>
          <w:sz w:val="28"/>
          <w:szCs w:val="28"/>
        </w:rPr>
        <w:t>、交纳成交款</w:t>
      </w:r>
      <w:bookmarkEnd w:id="17"/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中标的竞买人，进入竞买方本人的后台，在左侧“服务费缴纳”一栏，选择标的并进行“缴纳服务费”操作。如图</w:t>
      </w:r>
      <w:r>
        <w:rPr>
          <w:rFonts w:ascii="微软雅黑" w:hAnsi="微软雅黑" w:eastAsia="微软雅黑"/>
        </w:rPr>
        <w:t>21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drawing>
          <wp:inline distT="0" distB="0" distL="0" distR="0">
            <wp:extent cx="5274310" cy="2409825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图</w:t>
      </w:r>
      <w:r>
        <w:rPr>
          <w:rFonts w:ascii="微软雅黑" w:hAnsi="微软雅黑" w:eastAsia="微软雅黑"/>
        </w:rPr>
        <w:t>21</w:t>
      </w:r>
      <w:r>
        <w:rPr>
          <w:rFonts w:hint="eastAsia" w:ascii="微软雅黑" w:hAnsi="微软雅黑" w:eastAsia="微软雅黑"/>
        </w:rPr>
        <w:t>：交纳成交款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交纳成交款后，线上交易流程结束，线下进行交易操作。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  <w:r>
      <w:drawing>
        <wp:inline distT="0" distB="0" distL="0" distR="0">
          <wp:extent cx="537845" cy="266065"/>
          <wp:effectExtent l="0" t="0" r="0" b="635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7845" cy="266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87D"/>
    <w:rsid w:val="0002641A"/>
    <w:rsid w:val="00046D5E"/>
    <w:rsid w:val="00091E54"/>
    <w:rsid w:val="00111B9B"/>
    <w:rsid w:val="00146A64"/>
    <w:rsid w:val="00151201"/>
    <w:rsid w:val="001573C7"/>
    <w:rsid w:val="001822A4"/>
    <w:rsid w:val="001835BD"/>
    <w:rsid w:val="00187B2A"/>
    <w:rsid w:val="001E2EC3"/>
    <w:rsid w:val="001F0120"/>
    <w:rsid w:val="00207E39"/>
    <w:rsid w:val="00233B85"/>
    <w:rsid w:val="00246088"/>
    <w:rsid w:val="00275648"/>
    <w:rsid w:val="00291C58"/>
    <w:rsid w:val="002973CA"/>
    <w:rsid w:val="002D7D51"/>
    <w:rsid w:val="002E34C2"/>
    <w:rsid w:val="002F2968"/>
    <w:rsid w:val="003034DA"/>
    <w:rsid w:val="00304AEC"/>
    <w:rsid w:val="00322FA2"/>
    <w:rsid w:val="003906FF"/>
    <w:rsid w:val="00392CB2"/>
    <w:rsid w:val="003B3E48"/>
    <w:rsid w:val="003F60B8"/>
    <w:rsid w:val="00457455"/>
    <w:rsid w:val="004624C4"/>
    <w:rsid w:val="004A44DC"/>
    <w:rsid w:val="005963BD"/>
    <w:rsid w:val="005B365F"/>
    <w:rsid w:val="005B52F6"/>
    <w:rsid w:val="006C39EF"/>
    <w:rsid w:val="006C7A08"/>
    <w:rsid w:val="00713FF3"/>
    <w:rsid w:val="00727369"/>
    <w:rsid w:val="00742953"/>
    <w:rsid w:val="007439BB"/>
    <w:rsid w:val="007B149F"/>
    <w:rsid w:val="007D4F28"/>
    <w:rsid w:val="007E1EF3"/>
    <w:rsid w:val="008126CC"/>
    <w:rsid w:val="00822241"/>
    <w:rsid w:val="00826408"/>
    <w:rsid w:val="009759B3"/>
    <w:rsid w:val="00977073"/>
    <w:rsid w:val="009A585C"/>
    <w:rsid w:val="009B768A"/>
    <w:rsid w:val="009C5811"/>
    <w:rsid w:val="00A37E88"/>
    <w:rsid w:val="00A71126"/>
    <w:rsid w:val="00A95A93"/>
    <w:rsid w:val="00AA1B8E"/>
    <w:rsid w:val="00AB4BD8"/>
    <w:rsid w:val="00B05A06"/>
    <w:rsid w:val="00B1666E"/>
    <w:rsid w:val="00BE6762"/>
    <w:rsid w:val="00BF0118"/>
    <w:rsid w:val="00C53D48"/>
    <w:rsid w:val="00C6249B"/>
    <w:rsid w:val="00C70FBD"/>
    <w:rsid w:val="00C81C4C"/>
    <w:rsid w:val="00CA4CF0"/>
    <w:rsid w:val="00D2287D"/>
    <w:rsid w:val="00DC204C"/>
    <w:rsid w:val="00E14637"/>
    <w:rsid w:val="00E21183"/>
    <w:rsid w:val="00E22813"/>
    <w:rsid w:val="00E31D51"/>
    <w:rsid w:val="00E601F3"/>
    <w:rsid w:val="00F32A3A"/>
    <w:rsid w:val="00F64B39"/>
    <w:rsid w:val="00F654AA"/>
    <w:rsid w:val="00FA1905"/>
    <w:rsid w:val="00FB437A"/>
    <w:rsid w:val="00FF6DDF"/>
    <w:rsid w:val="03F20EAA"/>
    <w:rsid w:val="0EC22DC2"/>
    <w:rsid w:val="10A9118B"/>
    <w:rsid w:val="15494799"/>
    <w:rsid w:val="229918E5"/>
    <w:rsid w:val="29B72CEB"/>
    <w:rsid w:val="2A761ADD"/>
    <w:rsid w:val="30E5128A"/>
    <w:rsid w:val="374E3D62"/>
    <w:rsid w:val="3CDE724E"/>
    <w:rsid w:val="40687196"/>
    <w:rsid w:val="469035FD"/>
    <w:rsid w:val="475C2C2A"/>
    <w:rsid w:val="51110452"/>
    <w:rsid w:val="56F40617"/>
    <w:rsid w:val="5BC4315B"/>
    <w:rsid w:val="5C051CF5"/>
    <w:rsid w:val="600C2C0A"/>
    <w:rsid w:val="63252D9D"/>
    <w:rsid w:val="66C52B91"/>
    <w:rsid w:val="6B2F19CF"/>
    <w:rsid w:val="6CAD341A"/>
    <w:rsid w:val="7664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uiPriority w:val="39"/>
    <w:pPr>
      <w:ind w:left="840" w:leftChars="4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uiPriority w:val="39"/>
    <w:pPr>
      <w:ind w:left="420" w:leftChars="200"/>
    </w:p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6"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Unresolved Mention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7">
    <w:name w:val="标题 1 字符"/>
    <w:basedOn w:val="10"/>
    <w:link w:val="2"/>
    <w:uiPriority w:val="9"/>
    <w:rPr>
      <w:b/>
      <w:bCs/>
      <w:kern w:val="44"/>
      <w:sz w:val="44"/>
      <w:szCs w:val="44"/>
    </w:rPr>
  </w:style>
  <w:style w:type="character" w:customStyle="1" w:styleId="18">
    <w:name w:val="标题 2 字符"/>
    <w:basedOn w:val="10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字符"/>
    <w:basedOn w:val="10"/>
    <w:link w:val="4"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customXml" Target="../customXml/item2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header" Target="header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7D0BB1-565A-4C7D-B477-E1F94174F0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460</Words>
  <Characters>2623</Characters>
  <Lines>21</Lines>
  <Paragraphs>6</Paragraphs>
  <TotalTime>927</TotalTime>
  <ScaleCrop>false</ScaleCrop>
  <LinksUpToDate>false</LinksUpToDate>
  <CharactersWithSpaces>3077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2019-06-21T02:28:00Z</dcterms:created>
  <dc:creator>袁瑞龙</dc:creator>
  <cp:lastModifiedBy>春华秋实</cp:lastModifiedBy>
  <cp:lastPrinted>2020-04-27T10:10:00Z</cp:lastPrinted>
  <dcterms:modified xsi:type="dcterms:W3CDTF">2020-08-06T05:57:05Z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